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B" w:rsidRPr="00A7006B" w:rsidRDefault="00A7006B" w:rsidP="00A7006B">
      <w:pPr>
        <w:spacing w:after="389" w:line="810" w:lineRule="atLeast"/>
        <w:outlineLvl w:val="1"/>
        <w:rPr>
          <w:rFonts w:ascii="Arial" w:eastAsia="Times New Roman" w:hAnsi="Arial" w:cs="Arial"/>
          <w:b/>
          <w:bCs/>
          <w:spacing w:val="-1"/>
          <w:sz w:val="62"/>
          <w:szCs w:val="62"/>
        </w:rPr>
      </w:pPr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br/>
        <w:t xml:space="preserve">Требования к </w:t>
      </w:r>
      <w:proofErr w:type="spellStart"/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>портфолио</w:t>
      </w:r>
      <w:proofErr w:type="spellEnd"/>
    </w:p>
    <w:p w:rsidR="00A7006B" w:rsidRPr="00A7006B" w:rsidRDefault="00A7006B" w:rsidP="00A7006B">
      <w:pPr>
        <w:shd w:val="clear" w:color="auto" w:fill="FFFFFF"/>
        <w:spacing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В </w:t>
      </w: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профессиональном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педагога фиксируют результаты и достижения в образовательной деятельности за последние 3–5 лет. Во время аттестации проводят экспертизу документов и материалов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по критериям, которые определены требованиями к квалификационным категориям (</w:t>
      </w:r>
      <w:hyperlink r:id="rId5" w:anchor="/document/99/499089779/XA00M502MN/" w:tgtFrame="_self" w:history="1"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>п. 36</w:t>
        </w:r>
      </w:hyperlink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, </w:t>
      </w:r>
      <w:hyperlink r:id="rId6" w:anchor="/document/99/499089779/XA00MA02N0/" w:tgtFrame="_self" w:history="1"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 xml:space="preserve">37 приказа </w:t>
        </w:r>
        <w:proofErr w:type="spellStart"/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>Минобрнауки</w:t>
        </w:r>
        <w:proofErr w:type="spellEnd"/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 xml:space="preserve"> от 07.04.2014 № 276</w:t>
        </w:r>
      </w:hyperlink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). Основания, которые позволяют присвоить категорию, смотрите в таблице ниже.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79"/>
      </w:tblGrid>
      <w:tr w:rsidR="00A7006B" w:rsidRPr="00A7006B" w:rsidTr="00A7006B">
        <w:trPr>
          <w:tblHeader/>
        </w:trPr>
        <w:tc>
          <w:tcPr>
            <w:tcW w:w="768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Первая категория</w:t>
            </w:r>
          </w:p>
        </w:tc>
        <w:tc>
          <w:tcPr>
            <w:tcW w:w="770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Высшая категория</w:t>
            </w:r>
          </w:p>
        </w:tc>
      </w:tr>
      <w:tr w:rsidR="00A7006B" w:rsidRPr="00A7006B" w:rsidTr="00A7006B">
        <w:tc>
          <w:tcPr>
            <w:tcW w:w="768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Стабильные положительные результаты освоения образовательных программ по итогам внутренних мониторингов</w:t>
            </w:r>
          </w:p>
        </w:tc>
        <w:tc>
          <w:tcPr>
            <w:tcW w:w="770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37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Достижение положительной динамики результатов освоения образовательных программ по итогам внутренних мониторингов</w:t>
            </w:r>
          </w:p>
        </w:tc>
      </w:tr>
      <w:tr w:rsidR="00A7006B" w:rsidRPr="00A7006B" w:rsidTr="00A7006B">
        <w:tc>
          <w:tcPr>
            <w:tcW w:w="768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Стабильные положительные результаты освоения образовательных программ по итогам мониторинга системы образования</w:t>
            </w:r>
          </w:p>
        </w:tc>
        <w:tc>
          <w:tcPr>
            <w:tcW w:w="770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37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Достижение положительных результатов освоения образовательных программ по итогам мониторинга системы образования</w:t>
            </w:r>
          </w:p>
        </w:tc>
      </w:tr>
      <w:tr w:rsidR="00A7006B" w:rsidRPr="00A7006B" w:rsidTr="00A7006B">
        <w:tc>
          <w:tcPr>
            <w:tcW w:w="768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37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70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37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A7006B" w:rsidRPr="00A7006B" w:rsidTr="00A7006B">
        <w:tc>
          <w:tcPr>
            <w:tcW w:w="7686" w:type="dxa"/>
            <w:vMerge w:val="restart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37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70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370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7006B" w:rsidRPr="00A7006B" w:rsidTr="00A7006B">
        <w:tc>
          <w:tcPr>
            <w:tcW w:w="0" w:type="auto"/>
            <w:vMerge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vAlign w:val="center"/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7706" w:type="dxa"/>
            <w:tcBorders>
              <w:top w:val="single" w:sz="8" w:space="0" w:color="DFE4F2"/>
              <w:left w:val="single" w:sz="8" w:space="0" w:color="DFE4F2"/>
              <w:bottom w:val="single" w:sz="8" w:space="0" w:color="DFE4F2"/>
              <w:right w:val="single" w:sz="8" w:space="0" w:color="DFE4F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A7006B">
              <w:rPr>
                <w:rFonts w:ascii="Arial" w:eastAsia="Times New Roman" w:hAnsi="Arial" w:cs="Arial"/>
                <w:sz w:val="27"/>
                <w:szCs w:val="27"/>
              </w:rPr>
              <w:t>Активное участие в работе методических объединений педагогических работников организаций, разработке программно-методического сопровождения образовательного процесса, профессиональных конкурса</w:t>
            </w:r>
          </w:p>
        </w:tc>
      </w:tr>
    </w:tbl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Расскажите педагогам, когда комиссия может отказать в прохождении аттестации на категорию. Всего поводов для отказа четыре – смотрите их в примере.</w:t>
      </w:r>
    </w:p>
    <w:p w:rsidR="00A7006B" w:rsidRPr="00A7006B" w:rsidRDefault="00A7006B" w:rsidP="00A7006B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7"/>
          <w:szCs w:val="27"/>
        </w:rPr>
      </w:pPr>
      <w:r w:rsidRPr="00A7006B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7"/>
          <w:szCs w:val="27"/>
        </w:rPr>
        <w:t>ПРИМЕР</w:t>
      </w:r>
    </w:p>
    <w:p w:rsidR="00A7006B" w:rsidRPr="00A7006B" w:rsidRDefault="00A7006B" w:rsidP="00A7006B">
      <w:pPr>
        <w:shd w:val="clear" w:color="auto" w:fill="FCF3ED"/>
        <w:spacing w:before="100" w:beforeAutospacing="1" w:after="234" w:line="545" w:lineRule="atLeast"/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>Когда комиссия может отказать в аттестации на категорию:</w:t>
      </w:r>
    </w:p>
    <w:p w:rsidR="00A7006B" w:rsidRPr="00A7006B" w:rsidRDefault="00A7006B" w:rsidP="00A7006B">
      <w:pPr>
        <w:numPr>
          <w:ilvl w:val="0"/>
          <w:numId w:val="1"/>
        </w:numPr>
        <w:shd w:val="clear" w:color="auto" w:fill="FCF3ED"/>
        <w:spacing w:after="0" w:line="506" w:lineRule="atLeast"/>
        <w:ind w:left="0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если педагогический работник обращается за установлением высшей квалификационной категории впервые, но при этом не имеет первой категории (</w:t>
      </w:r>
      <w:hyperlink r:id="rId7" w:anchor="/document/99/499089779/XA00M4C2MJ/" w:tgtFrame="_self" w:history="1"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>п. 30 Порядка аттестации</w:t>
        </w:r>
      </w:hyperlink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);</w:t>
      </w:r>
    </w:p>
    <w:p w:rsidR="00A7006B" w:rsidRPr="00A7006B" w:rsidRDefault="00A7006B" w:rsidP="00A7006B">
      <w:pPr>
        <w:numPr>
          <w:ilvl w:val="0"/>
          <w:numId w:val="1"/>
        </w:numPr>
        <w:shd w:val="clear" w:color="auto" w:fill="FCF3ED"/>
        <w:spacing w:after="0" w:line="506" w:lineRule="atLeast"/>
        <w:ind w:left="0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если педагог обращается за установлением высшей квалификационной категории раньше чем через два года после </w:t>
      </w: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lastRenderedPageBreak/>
        <w:t>установления первой квалификационной категории (</w:t>
      </w:r>
      <w:hyperlink r:id="rId8" w:anchor="/document/99/499089779/XA00M4C2MJ/" w:tgtFrame="_self" w:history="1"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>п. 30 Порядка аттестации</w:t>
        </w:r>
      </w:hyperlink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);</w:t>
      </w:r>
    </w:p>
    <w:p w:rsidR="00A7006B" w:rsidRPr="00A7006B" w:rsidRDefault="00A7006B" w:rsidP="00A7006B">
      <w:pPr>
        <w:numPr>
          <w:ilvl w:val="0"/>
          <w:numId w:val="1"/>
        </w:numPr>
        <w:shd w:val="clear" w:color="auto" w:fill="FCF3ED"/>
        <w:spacing w:after="0" w:line="506" w:lineRule="atLeast"/>
        <w:ind w:left="0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если педагог обращается за установлением той же квалификационной категории раньше чем через один год со дня отказа в установлении этой категории по той же должности (</w:t>
      </w:r>
      <w:hyperlink r:id="rId9" w:anchor="/document/99/499089779/XA00M4C2MJ/" w:tgtFrame="_self" w:history="1"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>п. 43 Порядка аттестации</w:t>
        </w:r>
      </w:hyperlink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);</w:t>
      </w:r>
    </w:p>
    <w:p w:rsidR="00A7006B" w:rsidRPr="00A7006B" w:rsidRDefault="00A7006B" w:rsidP="00A7006B">
      <w:pPr>
        <w:numPr>
          <w:ilvl w:val="0"/>
          <w:numId w:val="1"/>
        </w:numPr>
        <w:shd w:val="clear" w:color="auto" w:fill="FCF3ED"/>
        <w:spacing w:line="506" w:lineRule="atLeast"/>
        <w:ind w:left="0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если на день подачи заявления тот, кто обращается с заявлением на категорию, не замещает должности педагогических работников в организациях, осуществляющих образовательную деятельность (</w:t>
      </w:r>
      <w:hyperlink r:id="rId10" w:anchor="/document/99/499089779/XA00M262MM/" w:tgtFrame="_self" w:history="1">
        <w:r w:rsidRPr="00A7006B">
          <w:rPr>
            <w:rFonts w:ascii="Times New Roman" w:eastAsia="Times New Roman" w:hAnsi="Times New Roman" w:cs="Times New Roman"/>
            <w:color w:val="01745C"/>
            <w:spacing w:val="-3"/>
            <w:sz w:val="35"/>
            <w:u w:val="single"/>
          </w:rPr>
          <w:t>п. 1 Порядка аттестации</w:t>
        </w:r>
      </w:hyperlink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).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Единых федеральных требований к оформлению и структуре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нет. Однако на региональном уровне могут утвердить правила оформления аттестационного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. Если такие нормы есть в вашем регионе – опирайтесь на них.</w:t>
      </w:r>
    </w:p>
    <w:p w:rsidR="00A7006B" w:rsidRPr="00A7006B" w:rsidRDefault="00A7006B" w:rsidP="00A7006B">
      <w:pPr>
        <w:shd w:val="clear" w:color="auto" w:fill="FFFFFF"/>
        <w:spacing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Чтобы все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педагогов вашего детского сада были единообразными, требования утвердите в локальном акте. Например, </w:t>
      </w: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положении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о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. Воспользуйтесь готовым образцом.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8292"/>
      </w:tblGrid>
      <w:tr w:rsidR="00A7006B" w:rsidRPr="00A7006B" w:rsidTr="00A7006B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3477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7006B" w:rsidRPr="00A7006B" w:rsidRDefault="00A7006B" w:rsidP="00A7006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A7006B" w:rsidRPr="00A7006B" w:rsidRDefault="00A7006B" w:rsidP="00A7006B">
      <w:pPr>
        <w:spacing w:before="778" w:after="389" w:line="810" w:lineRule="atLeast"/>
        <w:outlineLvl w:val="1"/>
        <w:rPr>
          <w:rFonts w:ascii="Arial" w:eastAsia="Times New Roman" w:hAnsi="Arial" w:cs="Arial"/>
          <w:b/>
          <w:bCs/>
          <w:spacing w:val="-1"/>
          <w:sz w:val="62"/>
          <w:szCs w:val="62"/>
        </w:rPr>
      </w:pPr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>Разделы </w:t>
      </w:r>
      <w:proofErr w:type="spellStart"/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>портфолио</w:t>
      </w:r>
      <w:proofErr w:type="spellEnd"/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> 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Содержание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зависит от целей. Например,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можно использовать, чтобы оценить результативность работы педагога. В этом случае в него надо </w:t>
      </w: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lastRenderedPageBreak/>
        <w:t>включить данные, которые говорят о результатах деятельности педагога: сведения о достижениях детей, наличии социальных компетенций, инновационной деятельности.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Другой вариант –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для аттестации на первую или высшую квалификационную категорию. Тогда в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включите материалы, которые подтверждают, что специалист соответствует заявленной квалификационной категории.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Можно выбрать универсальный вариант – включить в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разделы со сведениями, которые одновременно и продемонстрируют результаты работы, и подтвердят профессионализм. Примерную структуру разделов и их содержание смотрите ниже.</w:t>
      </w:r>
    </w:p>
    <w:p w:rsidR="00A7006B" w:rsidRPr="00A7006B" w:rsidRDefault="00A7006B" w:rsidP="00A7006B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7"/>
          <w:szCs w:val="27"/>
        </w:rPr>
      </w:pPr>
      <w:r w:rsidRPr="00A7006B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7"/>
          <w:szCs w:val="27"/>
        </w:rPr>
        <w:t>ПРИМЕР</w:t>
      </w:r>
    </w:p>
    <w:p w:rsidR="00A7006B" w:rsidRPr="00A7006B" w:rsidRDefault="00A7006B" w:rsidP="00A7006B">
      <w:pPr>
        <w:shd w:val="clear" w:color="auto" w:fill="FCF3ED"/>
        <w:spacing w:before="100" w:beforeAutospacing="1" w:line="545" w:lineRule="atLeast"/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 xml:space="preserve">Какие разделы включить в </w:t>
      </w:r>
      <w:proofErr w:type="spellStart"/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>портфолио</w:t>
      </w:r>
      <w:proofErr w:type="spellEnd"/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Это основные разделы и сведения, которые нужно включит в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. Их можно взять за образец. При этом важно ориентироваться на региональную специфику процедуры аттестации и требования к документации. Пример оформления титульного листа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смотрите ниже.</w:t>
      </w:r>
    </w:p>
    <w:p w:rsidR="00A7006B" w:rsidRPr="00A7006B" w:rsidRDefault="00A7006B" w:rsidP="00A7006B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7"/>
          <w:szCs w:val="27"/>
        </w:rPr>
      </w:pPr>
      <w:r w:rsidRPr="00A7006B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7"/>
          <w:szCs w:val="27"/>
        </w:rPr>
        <w:t>ПРИМЕР</w:t>
      </w:r>
    </w:p>
    <w:p w:rsidR="00A7006B" w:rsidRPr="00A7006B" w:rsidRDefault="00A7006B" w:rsidP="00A7006B">
      <w:pPr>
        <w:shd w:val="clear" w:color="auto" w:fill="FCF3ED"/>
        <w:spacing w:before="100" w:beforeAutospacing="1" w:line="545" w:lineRule="atLeast"/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 xml:space="preserve">Как оформить титульный лист </w:t>
      </w:r>
      <w:proofErr w:type="gramStart"/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>педагогического</w:t>
      </w:r>
      <w:proofErr w:type="gramEnd"/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b/>
          <w:bCs/>
          <w:color w:val="752700"/>
          <w:spacing w:val="-3"/>
          <w:sz w:val="35"/>
          <w:szCs w:val="35"/>
        </w:rPr>
        <w:t>портфолио</w:t>
      </w:r>
      <w:proofErr w:type="spellEnd"/>
    </w:p>
    <w:p w:rsidR="00A7006B" w:rsidRPr="00A7006B" w:rsidRDefault="00A7006B" w:rsidP="00A7006B">
      <w:pPr>
        <w:spacing w:before="778" w:after="389" w:line="810" w:lineRule="atLeast"/>
        <w:outlineLvl w:val="1"/>
        <w:rPr>
          <w:rFonts w:ascii="Arial" w:eastAsia="Times New Roman" w:hAnsi="Arial" w:cs="Arial"/>
          <w:b/>
          <w:bCs/>
          <w:spacing w:val="-1"/>
          <w:sz w:val="62"/>
          <w:szCs w:val="62"/>
        </w:rPr>
      </w:pPr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 xml:space="preserve">Оформление </w:t>
      </w:r>
      <w:proofErr w:type="spellStart"/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>портфолио</w:t>
      </w:r>
      <w:proofErr w:type="spellEnd"/>
      <w:r w:rsidRPr="00A7006B">
        <w:rPr>
          <w:rFonts w:ascii="Arial" w:eastAsia="Times New Roman" w:hAnsi="Arial" w:cs="Arial"/>
          <w:b/>
          <w:bCs/>
          <w:spacing w:val="-1"/>
          <w:sz w:val="62"/>
          <w:szCs w:val="62"/>
        </w:rPr>
        <w:t> 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lastRenderedPageBreak/>
        <w:t xml:space="preserve">Педагог может собирать </w:t>
      </w: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бумажное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, электронное или комбинированное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. Выбор формы зависит от предпочтений специалиста, региональных и локальных требований, которые утвердили в детском саду.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на бумаге – традиционный вариант. В папку собирают сведения о педагогическом работнике, информацию об участии в профессиональных мероприятиях, результаты исследовательской деятельности и достижения воспитанников.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В бумажном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перечень документов в каждом из разделов педагог указывает на разделительном листе.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Каждый отдельный материал нужно </w:t>
      </w: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датировать и подтвердить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документально: приказом, справкой, отчетом.</w:t>
      </w:r>
    </w:p>
    <w:p w:rsidR="00A7006B" w:rsidRPr="00A7006B" w:rsidRDefault="00A7006B" w:rsidP="00A7006B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7"/>
          <w:szCs w:val="27"/>
        </w:rPr>
      </w:pPr>
      <w:r w:rsidRPr="00A7006B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7"/>
          <w:szCs w:val="27"/>
        </w:rPr>
        <w:t>ВНИМАНИЕ</w:t>
      </w:r>
    </w:p>
    <w:p w:rsidR="00A7006B" w:rsidRPr="00A7006B" w:rsidRDefault="00A7006B" w:rsidP="00A7006B">
      <w:pPr>
        <w:shd w:val="clear" w:color="auto" w:fill="F5F6FA"/>
        <w:spacing w:before="100" w:beforeAutospacing="1" w:after="234" w:line="545" w:lineRule="atLeast"/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 xml:space="preserve">Не вкладывайте в </w:t>
      </w:r>
      <w:proofErr w:type="spellStart"/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 xml:space="preserve"> оригиналы документов</w:t>
      </w:r>
    </w:p>
    <w:p w:rsidR="00A7006B" w:rsidRPr="00A7006B" w:rsidRDefault="00A7006B" w:rsidP="00A7006B">
      <w:pPr>
        <w:shd w:val="clear" w:color="auto" w:fill="F5F6FA"/>
        <w:spacing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Используйте копии документов. Копии заверьте печатью и своей подписью или подписью заведующего.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Более современный вариант оформления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– электронный или интерактивный. Педагог размещает информацию в интернете на педагогических сайтах или на собственном сайте. </w:t>
      </w: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Электронное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представляет собой портал, который позволяет оценить достижения и воспользоваться наработками. Электронное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– это способ и демонстрировать достижения, и транслировать передовой опыт.</w:t>
      </w:r>
    </w:p>
    <w:p w:rsidR="00A7006B" w:rsidRPr="00A7006B" w:rsidRDefault="00A7006B" w:rsidP="00A7006B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7"/>
          <w:szCs w:val="27"/>
        </w:rPr>
      </w:pPr>
      <w:r w:rsidRPr="00A7006B"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7"/>
          <w:szCs w:val="27"/>
        </w:rPr>
        <w:lastRenderedPageBreak/>
        <w:t>СОВЕТ</w:t>
      </w:r>
    </w:p>
    <w:p w:rsidR="00A7006B" w:rsidRPr="00A7006B" w:rsidRDefault="00A7006B" w:rsidP="00A7006B">
      <w:pPr>
        <w:shd w:val="clear" w:color="auto" w:fill="F5F6FA"/>
        <w:spacing w:before="100" w:beforeAutospacing="1" w:after="234" w:line="545" w:lineRule="atLeast"/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</w:pPr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 xml:space="preserve">Разместите </w:t>
      </w:r>
      <w:proofErr w:type="gramStart"/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>электронное</w:t>
      </w:r>
      <w:proofErr w:type="gramEnd"/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b/>
          <w:bCs/>
          <w:color w:val="780C15"/>
          <w:spacing w:val="-3"/>
          <w:sz w:val="35"/>
          <w:szCs w:val="35"/>
        </w:rPr>
        <w:t xml:space="preserve"> педагога на сайте детского сада</w:t>
      </w:r>
    </w:p>
    <w:p w:rsidR="00A7006B" w:rsidRPr="00A7006B" w:rsidRDefault="00A7006B" w:rsidP="00A7006B">
      <w:pPr>
        <w:shd w:val="clear" w:color="auto" w:fill="F5F6FA"/>
        <w:spacing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Электронное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может стать частью сайта. Так вы поможете педагогу распространять свой опыт. Распространение опыта – один из важных критериев при оценке уровня квалификации. Также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обогатит сайт, даст родителям представление о том, кто будет работать с их детьми.</w:t>
      </w:r>
    </w:p>
    <w:p w:rsidR="00A7006B" w:rsidRPr="00A7006B" w:rsidRDefault="00A7006B" w:rsidP="00A7006B">
      <w:pPr>
        <w:shd w:val="clear" w:color="auto" w:fill="FFFFFF"/>
        <w:spacing w:after="234"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Электронное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может быть предоставлено на электронном носителе, например CDV-диске или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флеш-носителе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. В этом случае оно будет отличаться от </w:t>
      </w: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бумажного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только форматом. Содержательно это тот же набор документов, который подтверждает достижения педагога.</w:t>
      </w:r>
    </w:p>
    <w:p w:rsidR="00A7006B" w:rsidRPr="00A7006B" w:rsidRDefault="00A7006B" w:rsidP="00A7006B">
      <w:pPr>
        <w:shd w:val="clear" w:color="auto" w:fill="FFFFFF"/>
        <w:spacing w:line="545" w:lineRule="atLeast"/>
        <w:rPr>
          <w:rFonts w:ascii="Times New Roman" w:eastAsia="Times New Roman" w:hAnsi="Times New Roman" w:cs="Times New Roman"/>
          <w:spacing w:val="-3"/>
          <w:sz w:val="35"/>
          <w:szCs w:val="35"/>
        </w:rPr>
      </w:pPr>
      <w:proofErr w:type="gram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Комбинированное</w:t>
      </w:r>
      <w:proofErr w:type="gram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</w:t>
      </w:r>
      <w:proofErr w:type="spellStart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>портфолио</w:t>
      </w:r>
      <w:proofErr w:type="spellEnd"/>
      <w:r w:rsidRPr="00A7006B">
        <w:rPr>
          <w:rFonts w:ascii="Times New Roman" w:eastAsia="Times New Roman" w:hAnsi="Times New Roman" w:cs="Times New Roman"/>
          <w:spacing w:val="-3"/>
          <w:sz w:val="35"/>
          <w:szCs w:val="35"/>
        </w:rPr>
        <w:t xml:space="preserve"> совмещает в себе преимущества предыдущих вариантов. В этом случае часть документов педагог представляет в электронном виде, а часть – в бумажном. Например, у воспитателя может быть свой сайт, на котором он выкладывает педагогические и методические находки. А данные мониторингов, копии справок, отчетов и других документов хранятся в отдельной папке.</w:t>
      </w:r>
    </w:p>
    <w:p w:rsidR="00A7006B" w:rsidRPr="00A7006B" w:rsidRDefault="00A7006B" w:rsidP="00A7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06B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A7006B" w:rsidRPr="00A7006B" w:rsidRDefault="00A7006B" w:rsidP="00A7006B">
      <w:pPr>
        <w:spacing w:after="195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A7006B">
        <w:rPr>
          <w:rFonts w:ascii="Arial" w:eastAsia="Times New Roman" w:hAnsi="Arial" w:cs="Arial"/>
          <w:color w:val="222222"/>
          <w:sz w:val="27"/>
          <w:szCs w:val="27"/>
        </w:rPr>
        <w:br/>
        <w:t>© Материал из Справочной системы «Методист детского сада».</w:t>
      </w:r>
      <w:r w:rsidRPr="00A7006B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A030C3" w:rsidRDefault="00A030C3"/>
    <w:sectPr w:rsidR="00A030C3" w:rsidSect="0091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8D4"/>
    <w:multiLevelType w:val="multilevel"/>
    <w:tmpl w:val="58A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>
    <w:useFELayout/>
  </w:compat>
  <w:rsids>
    <w:rsidRoot w:val="00A7006B"/>
    <w:rsid w:val="00300B91"/>
    <w:rsid w:val="00915FC4"/>
    <w:rsid w:val="00A030C3"/>
    <w:rsid w:val="00A7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4"/>
  </w:style>
  <w:style w:type="paragraph" w:styleId="2">
    <w:name w:val="heading 2"/>
    <w:basedOn w:val="a"/>
    <w:link w:val="20"/>
    <w:uiPriority w:val="9"/>
    <w:qFormat/>
    <w:rsid w:val="00A7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0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00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006B"/>
    <w:rPr>
      <w:color w:val="0000FF"/>
      <w:u w:val="single"/>
    </w:rPr>
  </w:style>
  <w:style w:type="paragraph" w:customStyle="1" w:styleId="incut-v4title">
    <w:name w:val="incut-v4__title"/>
    <w:basedOn w:val="a"/>
    <w:rsid w:val="00A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006B"/>
    <w:rPr>
      <w:b/>
      <w:bCs/>
    </w:rPr>
  </w:style>
  <w:style w:type="paragraph" w:customStyle="1" w:styleId="copyright-info">
    <w:name w:val="copyright-info"/>
    <w:basedOn w:val="a"/>
    <w:rsid w:val="00A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004">
                      <w:marLeft w:val="0"/>
                      <w:marRight w:val="-5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9947">
                                      <w:marLeft w:val="0"/>
                                      <w:marRight w:val="0"/>
                                      <w:marTop w:val="467"/>
                                      <w:marBottom w:val="4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38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582879">
                                          <w:marLeft w:val="0"/>
                                          <w:marRight w:val="0"/>
                                          <w:marTop w:val="467"/>
                                          <w:marBottom w:val="4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52313">
                                          <w:marLeft w:val="0"/>
                                          <w:marRight w:val="0"/>
                                          <w:marTop w:val="0"/>
                                          <w:marBottom w:val="3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536912">
                                      <w:marLeft w:val="0"/>
                                      <w:marRight w:val="0"/>
                                      <w:marTop w:val="467"/>
                                      <w:marBottom w:val="4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7116">
                                          <w:marLeft w:val="0"/>
                                          <w:marRight w:val="0"/>
                                          <w:marTop w:val="467"/>
                                          <w:marBottom w:val="4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501627">
                                          <w:marLeft w:val="0"/>
                                          <w:marRight w:val="0"/>
                                          <w:marTop w:val="467"/>
                                          <w:marBottom w:val="4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3516">
                                      <w:marLeft w:val="0"/>
                                      <w:marRight w:val="0"/>
                                      <w:marTop w:val="467"/>
                                      <w:marBottom w:val="4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80005">
                                          <w:marLeft w:val="0"/>
                                          <w:marRight w:val="0"/>
                                          <w:marTop w:val="467"/>
                                          <w:marBottom w:val="4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197845">
                                          <w:marLeft w:val="0"/>
                                          <w:marRight w:val="0"/>
                                          <w:marTop w:val="467"/>
                                          <w:marBottom w:val="4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metodi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metodist.ru/" TargetMode="External"/><Relationship Id="rId10" Type="http://schemas.openxmlformats.org/officeDocument/2006/relationships/hyperlink" Target="https://vip.1metod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1094</Words>
  <Characters>6239</Characters>
  <Application>Microsoft Office Word</Application>
  <DocSecurity>0</DocSecurity>
  <Lines>51</Lines>
  <Paragraphs>14</Paragraphs>
  <ScaleCrop>false</ScaleCrop>
  <Company>IVC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2022-05-02T03:18:00Z</dcterms:created>
  <dcterms:modified xsi:type="dcterms:W3CDTF">2022-05-17T08:14:00Z</dcterms:modified>
</cp:coreProperties>
</file>